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143A">
      <w:pPr>
        <w:rPr>
          <w:rStyle w:val="dhgao2"/>
          <w:rFonts w:ascii="微软雅黑" w:eastAsia="微软雅黑" w:hAnsi="微软雅黑" w:hint="eastAsia"/>
          <w:color w:val="333333"/>
          <w:sz w:val="28"/>
          <w:szCs w:val="28"/>
        </w:rPr>
      </w:pPr>
      <w:r>
        <w:rPr>
          <w:rStyle w:val="dhgao2"/>
          <w:rFonts w:ascii="微软雅黑" w:eastAsia="微软雅黑" w:hAnsi="微软雅黑" w:hint="eastAsia"/>
          <w:color w:val="333333"/>
          <w:sz w:val="28"/>
          <w:szCs w:val="28"/>
        </w:rPr>
        <w:t>国家税务总局关于办理2022年度个人所得税综合所得汇算清缴事项的公告</w:t>
      </w:r>
    </w:p>
    <w:p w:rsidR="00AC143A" w:rsidRDefault="00AC143A">
      <w:pPr>
        <w:rPr>
          <w:rStyle w:val="hao11"/>
          <w:rFonts w:ascii="微软雅黑" w:eastAsia="微软雅黑" w:hAnsi="微软雅黑" w:hint="eastAsia"/>
        </w:rPr>
      </w:pPr>
      <w:r>
        <w:rPr>
          <w:rStyle w:val="hao11"/>
          <w:rFonts w:ascii="微软雅黑" w:eastAsia="微软雅黑" w:hAnsi="微软雅黑" w:hint="eastAsia"/>
        </w:rPr>
        <w:t>国家税务总局公告2023年第3号</w:t>
      </w:r>
    </w:p>
    <w:p w:rsidR="00AC143A" w:rsidRDefault="00AC143A">
      <w:pPr>
        <w:rPr>
          <w:rStyle w:val="hao11"/>
          <w:rFonts w:ascii="微软雅黑" w:eastAsia="微软雅黑" w:hAnsi="微软雅黑" w:hint="eastAsia"/>
        </w:rPr>
      </w:pPr>
    </w:p>
    <w:p w:rsidR="00AC143A" w:rsidRPr="00AC143A" w:rsidRDefault="00AC143A" w:rsidP="00AC143A">
      <w:pPr>
        <w:widowControl/>
        <w:shd w:val="clear" w:color="auto" w:fill="FFFFFF"/>
        <w:spacing w:line="640" w:lineRule="atLeast"/>
        <w:ind w:firstLine="480"/>
        <w:rPr>
          <w:rFonts w:ascii="微软雅黑" w:eastAsia="微软雅黑" w:hAnsi="微软雅黑" w:cs="宋体"/>
          <w:color w:val="333333"/>
          <w:kern w:val="0"/>
          <w:sz w:val="28"/>
          <w:szCs w:val="28"/>
        </w:rPr>
      </w:pPr>
      <w:r w:rsidRPr="00AC143A">
        <w:rPr>
          <w:rFonts w:ascii="微软雅黑" w:eastAsia="微软雅黑" w:hAnsi="微软雅黑" w:cs="宋体" w:hint="eastAsia"/>
          <w:color w:val="333333"/>
          <w:kern w:val="0"/>
          <w:sz w:val="28"/>
          <w:szCs w:val="28"/>
        </w:rPr>
        <w:t>根据个人所得税法及其实施条例、税收征收管理法及其实施细则等有关规定，现就办理2022年度个人所得税综合所得汇算清缴（以下简称汇算）有关事项公告如下：</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一、汇算的主要内容</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2022年度终了后，居民个人（以下称纳税人）需要汇总2022年1月1日至12月31日取得的工资薪金、劳务报酬、稿酬、特许权使用费等四项综合所得的收入额，减除费用6万元以及专项扣除、专项附加扣除、依法确定的其他扣除和符合条件的公益慈善事业捐赠后，适用综合所得个人所得税税率并减去速算扣除数（税率表见附件1），计算最终应纳税额，再减去2022年已预缴税额，得出应退或应补税额，向税务机关申报并办理退税或补税。具体计算公式如下：</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应退或应补税额=[（综合所得收入额-60000元-“三险一金”等专项扣除-子女教育等专项附加扣除-依法确定的其他扣除-符合条件的公益慈善事业捐赠）×适用税率-速算扣除数]-已预缴税额</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汇算不涉及纳税人的财产租赁等分类所得，以及按规定不并入综合所得计算纳税的所得。</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二、无需办理汇算的情形</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纳税人在2022年已依法预缴个人所得税且符合下列情形之一的，无需办理汇算：</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（一）汇算需补税但综合所得收入全年不超过12万元的；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（二）汇算需补税金额不超过400元的；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（三）已预缴税额与汇算应纳税额一致的；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（四）符合汇算退税条件但不申请退税的。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三、需要办理汇算的情形</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符合下列情形之一的，纳税人需办理汇算：</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（一）已预缴税额大于汇算应纳税额且申请退税的；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（二）2022年取得的综合所得收入超过12万元且汇算需要补税金额超过400元的。</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因适用所得项目错误或者扣缴义务人未依法履行扣缴义务，造成2022年少申报或者未申报综合所得的，纳税人应当依法据实办理汇算。</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四、可享受的税前扣除</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下列在2022年发生的税前扣除，纳税人可在汇算期间填报或补充扣除：</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（一）纳税人及其配偶、未成年子女符合条件的大病医疗支出；</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（二）符合条件的3岁以下婴幼儿照护、子女教育、继续教育、住房贷款利息或住房租金、赡养老人等专项附加扣除，以及减除费用、专项扣除、依法确定的其他扣除；</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（三）符合条件的公益慈善事业捐赠；</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（四）符合条件的个人养老金扣除。</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同时取得综合所得和经营所得的纳税人，可在综合所得或经营所得中申报减除费用6万元、专项扣除、专项附加扣除以及依法确定的其他扣除，但不得重复申报减除。</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五、办理时间</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2022年度汇算办理时间为2023年3月1日至6月30日。在中国境内无住所的纳税人在3月1日前离境的，可以在离境前办理。</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六、办理方式</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纳税人可自主选择下列办理方式：</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（一）自行办理。</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（二）通过任职受雇单位（含按累计预扣法预扣预缴其劳务报酬所得个人所得税的单位）代为办理。</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纳税人提出代办要求的，单位应当代为办理，或者培训、辅导纳税人完成汇算申报和退（补）税。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由单位代为办理的，纳税人应在2023年4月30日前与单位以书面或者电子等方式进行确认，补充提供2022年在本单位以外取得的综合所得收入、相关扣除、享受税收优惠等信息资料，并对所提交信息的真实性、准确性、完整性负责。纳税人未与单位确认请其代为办理的，单位不得代办。</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（三）委托受托人（含涉税专业服务机构或其他单位及个人）办理，纳税人需与受托人签订授权书。</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单位或受托人为纳税人办理汇算后，应当及时将办理情况告知纳税人。纳税人发现汇算申报信息存在错误的，可以要求单位或受托人更正申报，也可自行更正申报。</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七、办理渠道</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为便利纳税人，税务机关为纳税人提供高效、快捷的网络办税渠道。纳税人可优先通过手机个人所得税 APP、自然人电子税务局网站办理汇算，税务机关将为纳税人提供申报表项目预填服务；不方便通过上述方式办理的，也可以通过邮寄方式或到办税服务厅办理。</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选择邮寄申报的，纳税人需将申报表寄送至按本公告第九条确定的主管税务机关所在省、自治区、直辖市和计划单列市税务局公告的地址。</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八、申报信息及资料留存</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办理汇算，适用个人所得税年度自行纳税申报表（附件2、3），如需修改本人相关基础信息，新增享受扣除或者税收优惠的，还应按规定一并填报相关信息。纳税人需仔细核对，确保所填信息真实、准确、完整。</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纳税人、代办汇算的单位，需各自将专项附加扣除、税收优惠材料等汇算相关资料，自汇算期结束之日起留存5年。</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存在股权（股票）激励（含境内企业以境外企业股权为标的对员工进行的股权激励）、职务科技成果转化现金奖励等情况的单位，应当按照相关规定报告、备案。</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九、受理申报的税务机关</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按照方便就近原则，纳税人自行办理或受托人为纳税人代为办理的，向纳税人任职受雇单位的主管税务机关申报；有两处及以上任职受雇单位的，可自主选择向其中一处申报。</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没有任职受雇单位的，向其户籍所在地、经常居住地或者主要收入来源地的主管税务机关申报。主要收入来源地，是指2022年向纳税人累计发放劳务报酬、稿酬及特许权使用费金额最大的扣缴义务人所在地。</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单位为纳税人代办汇算的，向单位的主管税务机关申报。</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为方便纳税服务和征收管理，汇算期结束后，税务部门将为尚未办理申报的纳税人确定其主管税务机关。</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十、退（补）税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（一）办理退税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申请汇算退税，应当提供其在中国境内开设的符合条件的银行账户。税务机关按规定审核后，按照国库管理有关规定办理税款退库。纳税人未提供本人有效银行账户，或者提供的信息资料有误的，税务机关将通知纳税人更正，纳税人按要求更正后依法办理退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为方便办理退税，2022年综合所得全年收入额不超过6万元且已预缴个人所得税的纳税人，可选择使用个税 APP及网站提供的简易申报功能，便捷办理汇算退税。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申请2022年度汇算退税的纳税人，如存在应当办理2021及以前年度汇算补税但未办理，或者经税务机关通知2021及以前年度汇算申报存在疑点但未更正或说明情况的，需在办理2021及以前年度汇算申报补税、更正申报或者说明有关情况后依法申请退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（二）办理补税</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办理汇算补税的，可以通过网上银行、办税服务厅POS机刷卡、银行柜台、非银行支付机构等方式缴纳。邮寄申报并补税的，纳税人需通过个税APP及网站或者主管税务机关办税服务厅及时关注申报进度并缴纳税款。</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汇算需补税的纳税人，汇算期结束后未足额补缴税款的，税务机关将依法加收滞纳金，并在其个人所得税 《纳税记录》中予以标注。</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纳税人因申报信息填写错误造成汇算多退或少缴税款的，纳税人主动或经税务机关提醒后及时改正的，税务机关可以按照“首违不罚”原则免予处罚。</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十一、汇算服务</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税务机关推出系列优化服务措施，加强汇算的政策解读和操作辅导力度，分类编制办税指引，通俗解释政策口径、专业术语和操作流程，多渠道、多形式开展提示提醒服务，并通过个税APP及网站、</w:t>
      </w:r>
      <w:r w:rsidRPr="00AC143A">
        <w:rPr>
          <w:rFonts w:ascii="微软雅黑" w:eastAsia="微软雅黑" w:hAnsi="微软雅黑" w:cs="宋体" w:hint="eastAsia"/>
          <w:color w:val="333333"/>
          <w:kern w:val="0"/>
          <w:sz w:val="28"/>
          <w:szCs w:val="28"/>
        </w:rPr>
        <w:lastRenderedPageBreak/>
        <w:t>12366纳税缴费服务平台等渠道提供涉税咨询，帮助纳税人解决疑难问题，积极回应纳税人诉求。</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汇算开始前，纳税人可登录个税APP及网站，查看自己的综合所得和纳税情况，核对银行卡、专项附加扣除涉及人员身份信息等基础资料，为汇算做好准备。</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为合理有序引导纳税人办理汇算，提升纳税人办理体验，主管税务机关将分批分期通知提醒纳税人在确定的时间段内办理。同时，税务部门推出预约办理服务，有汇算初期（3月1日至3月20日）办理需求的纳税人，可以根据自身情况，在2月16日后通过个税APP及网站预约上述时间段中的任意一天办理。3月21日至6月30日，纳税人无需预约，可以随时办理。</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对符合汇算退税条件且生活负担较重的纳税人，税务机关提供优先退税服务。独立完成汇算存在困难的年长、行动不便等特殊人群提出申请，税务机关可提供个性化便民服务。</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b/>
          <w:bCs/>
          <w:color w:val="333333"/>
          <w:kern w:val="0"/>
          <w:sz w:val="28"/>
          <w:szCs w:val="28"/>
        </w:rPr>
        <w:t>十二、其他事项</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《国家税务总局关于个人所得税自行纳税申报有关问题公告》（2018年第62号）第一条、第四条与本公告不一致的，依照本公告执行。</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特此公告。</w:t>
      </w: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附件：1.</w:t>
      </w:r>
      <w:hyperlink r:id="rId6" w:tgtFrame="_blank" w:history="1">
        <w:r w:rsidRPr="00AC143A">
          <w:rPr>
            <w:rFonts w:ascii="微软雅黑" w:eastAsia="微软雅黑" w:hAnsi="微软雅黑" w:cs="宋体" w:hint="eastAsia"/>
            <w:color w:val="0000FF"/>
            <w:kern w:val="0"/>
            <w:sz w:val="28"/>
            <w:szCs w:val="28"/>
          </w:rPr>
          <w:t>个人所得税税率表（综合所得适用）</w:t>
        </w:r>
      </w:hyperlink>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lastRenderedPageBreak/>
        <w:t>2.</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hyperlink r:id="rId7" w:tgtFrame="_blank" w:history="1">
        <w:r w:rsidRPr="00AC143A">
          <w:rPr>
            <w:rFonts w:ascii="微软雅黑" w:eastAsia="微软雅黑" w:hAnsi="微软雅黑" w:cs="宋体" w:hint="eastAsia"/>
            <w:color w:val="0000FF"/>
            <w:kern w:val="0"/>
            <w:sz w:val="28"/>
            <w:szCs w:val="28"/>
          </w:rPr>
          <w:t>个人所得税年度自行纳税申报表（A表、简易版、问答版）</w:t>
        </w:r>
      </w:hyperlink>
    </w:p>
    <w:p w:rsidR="00AC143A" w:rsidRPr="00AC143A" w:rsidRDefault="00AC143A" w:rsidP="00AC143A">
      <w:pPr>
        <w:widowControl/>
        <w:shd w:val="clear" w:color="auto" w:fill="FFFFFF"/>
        <w:spacing w:line="640" w:lineRule="atLeast"/>
        <w:ind w:firstLine="480"/>
        <w:rPr>
          <w:rFonts w:ascii="微软雅黑" w:eastAsia="微软雅黑" w:hAnsi="微软雅黑" w:cs="宋体" w:hint="eastAsia"/>
          <w:color w:val="333333"/>
          <w:kern w:val="0"/>
          <w:sz w:val="28"/>
          <w:szCs w:val="28"/>
        </w:rPr>
      </w:pPr>
      <w:r w:rsidRPr="00AC143A">
        <w:rPr>
          <w:rFonts w:ascii="微软雅黑" w:eastAsia="微软雅黑" w:hAnsi="微软雅黑" w:cs="宋体" w:hint="eastAsia"/>
          <w:color w:val="333333"/>
          <w:kern w:val="0"/>
          <w:sz w:val="28"/>
          <w:szCs w:val="28"/>
        </w:rPr>
        <w:t>3.</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r w:rsidRPr="00AC143A">
        <w:rPr>
          <w:rFonts w:ascii="MS Gothic" w:eastAsia="MS Gothic" w:hAnsi="MS Gothic" w:cs="MS Gothic" w:hint="eastAsia"/>
          <w:color w:val="333333"/>
          <w:kern w:val="0"/>
          <w:sz w:val="28"/>
          <w:szCs w:val="28"/>
        </w:rPr>
        <w:t> </w:t>
      </w:r>
      <w:hyperlink r:id="rId8" w:tgtFrame="_blank" w:history="1">
        <w:r w:rsidRPr="00AC143A">
          <w:rPr>
            <w:rFonts w:ascii="微软雅黑" w:eastAsia="微软雅黑" w:hAnsi="微软雅黑" w:cs="宋体" w:hint="eastAsia"/>
            <w:color w:val="0000FF"/>
            <w:kern w:val="0"/>
            <w:sz w:val="28"/>
            <w:szCs w:val="28"/>
          </w:rPr>
          <w:t>个人所得税年度自行纳税申报表（B表）</w:t>
        </w:r>
      </w:hyperlink>
    </w:p>
    <w:p w:rsidR="00AC143A" w:rsidRPr="00AC143A" w:rsidRDefault="00AC143A">
      <w:pPr>
        <w:rPr>
          <w:b/>
        </w:rPr>
      </w:pPr>
    </w:p>
    <w:sectPr w:rsidR="00AC143A" w:rsidRPr="00AC1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E8" w:rsidRDefault="00255AE8" w:rsidP="00AC143A">
      <w:r>
        <w:separator/>
      </w:r>
    </w:p>
  </w:endnote>
  <w:endnote w:type="continuationSeparator" w:id="1">
    <w:p w:rsidR="00255AE8" w:rsidRDefault="00255AE8" w:rsidP="00AC1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E8" w:rsidRDefault="00255AE8" w:rsidP="00AC143A">
      <w:r>
        <w:separator/>
      </w:r>
    </w:p>
  </w:footnote>
  <w:footnote w:type="continuationSeparator" w:id="1">
    <w:p w:rsidR="00255AE8" w:rsidRDefault="00255AE8" w:rsidP="00AC1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43A"/>
    <w:rsid w:val="00255AE8"/>
    <w:rsid w:val="00AC1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43A"/>
    <w:rPr>
      <w:sz w:val="18"/>
      <w:szCs w:val="18"/>
    </w:rPr>
  </w:style>
  <w:style w:type="paragraph" w:styleId="a4">
    <w:name w:val="footer"/>
    <w:basedOn w:val="a"/>
    <w:link w:val="Char0"/>
    <w:uiPriority w:val="99"/>
    <w:semiHidden/>
    <w:unhideWhenUsed/>
    <w:rsid w:val="00AC14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43A"/>
    <w:rPr>
      <w:sz w:val="18"/>
      <w:szCs w:val="18"/>
    </w:rPr>
  </w:style>
  <w:style w:type="character" w:customStyle="1" w:styleId="dhgao2">
    <w:name w:val="dhgao2"/>
    <w:basedOn w:val="a0"/>
    <w:rsid w:val="00AC143A"/>
  </w:style>
  <w:style w:type="character" w:customStyle="1" w:styleId="hao11">
    <w:name w:val="hao11"/>
    <w:basedOn w:val="a0"/>
    <w:rsid w:val="00AC143A"/>
    <w:rPr>
      <w:color w:val="DF0000"/>
      <w:sz w:val="28"/>
      <w:szCs w:val="28"/>
    </w:rPr>
  </w:style>
</w:styles>
</file>

<file path=word/webSettings.xml><?xml version="1.0" encoding="utf-8"?>
<w:webSettings xmlns:r="http://schemas.openxmlformats.org/officeDocument/2006/relationships" xmlns:w="http://schemas.openxmlformats.org/wordprocessingml/2006/main">
  <w:divs>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1153253932">
          <w:marLeft w:val="0"/>
          <w:marRight w:val="0"/>
          <w:marTop w:val="100"/>
          <w:marBottom w:val="100"/>
          <w:divBdr>
            <w:top w:val="none" w:sz="0" w:space="0" w:color="auto"/>
            <w:left w:val="none" w:sz="0" w:space="0" w:color="auto"/>
            <w:bottom w:val="none" w:sz="0" w:space="0" w:color="auto"/>
            <w:right w:val="none" w:sz="0" w:space="0" w:color="auto"/>
          </w:divBdr>
          <w:divsChild>
            <w:div w:id="1513374523">
              <w:marLeft w:val="0"/>
              <w:marRight w:val="0"/>
              <w:marTop w:val="0"/>
              <w:marBottom w:val="0"/>
              <w:divBdr>
                <w:top w:val="single" w:sz="6" w:space="0" w:color="DEDCD8"/>
                <w:left w:val="single" w:sz="6" w:space="0" w:color="DEDCD8"/>
                <w:bottom w:val="single" w:sz="6" w:space="0" w:color="DEDCD8"/>
                <w:right w:val="single" w:sz="6" w:space="0" w:color="DEDCD8"/>
              </w:divBdr>
              <w:divsChild>
                <w:div w:id="1743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chinatax/n363/c5184015/5184015/files/&#20010;&#20154;&#25152;&#24471;&#31246;&#24180;&#24230;&#33258;&#34892;&#32435;&#31246;&#30003;&#25253;&#34920;&#65288;B&#34920;&#65289;.pdf" TargetMode="External"/><Relationship Id="rId3" Type="http://schemas.openxmlformats.org/officeDocument/2006/relationships/webSettings" Target="webSettings.xml"/><Relationship Id="rId7" Type="http://schemas.openxmlformats.org/officeDocument/2006/relationships/hyperlink" Target="http://www.chinatax.gov.cn/chinatax/n363/c5184015/5184015/files/&#20010;&#20154;&#25152;&#24471;&#31246;&#24180;&#24230;&#33258;&#34892;&#32435;&#31246;&#30003;&#25253;&#34920;&#65288;A&#34920;&#12289;&#31616;&#26131;&#29256;&#12289;&#38382;&#31572;&#29256;&#6528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363/c5184015/5184015/files/&#20010;&#20154;&#25152;&#24471;&#31246;&#31246;&#29575;&#34920;&#65288;&#32508;&#21512;&#25152;&#24471;&#36866;&#29992;&#6528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551</Words>
  <Characters>3144</Characters>
  <Application>Microsoft Office Word</Application>
  <DocSecurity>0</DocSecurity>
  <Lines>26</Lines>
  <Paragraphs>7</Paragraphs>
  <ScaleCrop>false</ScaleCrop>
  <Company>Microsoft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2023-02-27T08:46:00Z</dcterms:created>
  <dcterms:modified xsi:type="dcterms:W3CDTF">2023-02-27T08:47:00Z</dcterms:modified>
</cp:coreProperties>
</file>